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Times New Roman" w:hAnsi="Times New Roman" w:eastAsia="仿宋"/>
          <w:color w:val="auto"/>
          <w:sz w:val="32"/>
          <w:szCs w:val="32"/>
        </w:rPr>
      </w:pPr>
      <w:r>
        <w:rPr>
          <w:rFonts w:ascii="Times New Roman" w:hAnsi="Times New Roman" w:eastAsia="仿宋"/>
          <w:color w:val="auto"/>
          <w:sz w:val="32"/>
          <w:szCs w:val="32"/>
        </w:rPr>
        <w:t>附件4：</w:t>
      </w:r>
    </w:p>
    <w:p>
      <w:pPr>
        <w:ind w:right="640"/>
        <w:rPr>
          <w:rFonts w:ascii="Times New Roman" w:hAnsi="Times New Roman" w:eastAsia="仿宋"/>
          <w:color w:val="auto"/>
          <w:sz w:val="21"/>
          <w:szCs w:val="21"/>
        </w:rPr>
      </w:pPr>
    </w:p>
    <w:p>
      <w:pPr>
        <w:jc w:val="center"/>
        <w:rPr>
          <w:rStyle w:val="4"/>
          <w:rFonts w:ascii="Times New Roman" w:hAnsi="Times New Roman" w:eastAsia="黑体"/>
          <w:color w:val="auto"/>
          <w:sz w:val="36"/>
          <w:szCs w:val="32"/>
        </w:rPr>
      </w:pPr>
      <w:r>
        <w:rPr>
          <w:rStyle w:val="4"/>
          <w:rFonts w:ascii="Times New Roman" w:hAnsi="Times New Roman" w:eastAsia="黑体"/>
          <w:color w:val="auto"/>
          <w:sz w:val="36"/>
          <w:szCs w:val="32"/>
        </w:rPr>
        <w:t>20</w:t>
      </w:r>
      <w:r>
        <w:rPr>
          <w:rStyle w:val="4"/>
          <w:rFonts w:hint="eastAsia" w:ascii="Times New Roman" w:hAnsi="Times New Roman" w:eastAsia="黑体"/>
          <w:color w:val="auto"/>
          <w:sz w:val="36"/>
          <w:szCs w:val="32"/>
          <w:lang w:val="en-US" w:eastAsia="zh-CN"/>
        </w:rPr>
        <w:t>22</w:t>
      </w:r>
      <w:r>
        <w:rPr>
          <w:rStyle w:val="4"/>
          <w:rFonts w:ascii="Times New Roman" w:hAnsi="Times New Roman" w:eastAsia="黑体"/>
          <w:color w:val="auto"/>
          <w:sz w:val="36"/>
          <w:szCs w:val="32"/>
        </w:rPr>
        <w:t>年江西</w:t>
      </w:r>
      <w:r>
        <w:rPr>
          <w:rStyle w:val="4"/>
          <w:rFonts w:hint="eastAsia" w:ascii="Times New Roman" w:hAnsi="Times New Roman" w:eastAsia="黑体"/>
          <w:color w:val="auto"/>
          <w:sz w:val="36"/>
          <w:szCs w:val="32"/>
        </w:rPr>
        <w:t>省互联网企业20强</w:t>
      </w:r>
      <w:r>
        <w:rPr>
          <w:rStyle w:val="4"/>
          <w:rFonts w:ascii="Times New Roman" w:hAnsi="Times New Roman" w:eastAsia="黑体"/>
          <w:color w:val="auto"/>
          <w:sz w:val="36"/>
          <w:szCs w:val="32"/>
        </w:rPr>
        <w:t>申报表填表说明</w:t>
      </w:r>
    </w:p>
    <w:p>
      <w:pPr>
        <w:jc w:val="center"/>
        <w:rPr>
          <w:rFonts w:ascii="Times New Roman" w:hAnsi="Times New Roman" w:eastAsia="黑体"/>
          <w:color w:val="auto"/>
          <w:sz w:val="21"/>
          <w:szCs w:val="21"/>
        </w:rPr>
      </w:pP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企业名称：请填写贵企业希望在评价结果上展现的名称，推荐使用集团名称。</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注册地址：请填写位于江西的主要实体的注册地址。请勿填写海外地址。</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营业收入：包括企业的主营业务和其他业务收入、境内和境外的收入。不含营业外收入，不含增值税。</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净利润：以利润总额为基础，减去所得税费用，计算出净利润（或净亏损）。</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纳税总额：企业在我国境内实际缴纳的所有税款合计金额。计算范围包括全部税种。</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员工总数：年度平均从业人数（含合并财务报表合并范围中所有企业的人数之和）。</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电子商务交易额：通过电子商务方式达成商品或服务的交易总金额，包括自营商品或服务交易额、第三方商户商品或服务交易额。</w:t>
      </w:r>
    </w:p>
    <w:p>
      <w:pPr>
        <w:numPr>
          <w:ilvl w:val="0"/>
          <w:numId w:val="1"/>
        </w:numPr>
        <w:spacing w:line="560" w:lineRule="exact"/>
        <w:rPr>
          <w:rFonts w:ascii="Times New Roman" w:hAnsi="Times New Roman" w:eastAsia="仿宋_GB2312"/>
          <w:color w:val="auto"/>
          <w:sz w:val="32"/>
        </w:rPr>
      </w:pPr>
      <w:r>
        <w:rPr>
          <w:rFonts w:ascii="Times New Roman" w:hAnsi="Times New Roman" w:eastAsia="仿宋_GB2312"/>
          <w:color w:val="auto"/>
          <w:sz w:val="32"/>
        </w:rPr>
        <w:t>境外互联网业务收入：来自中国境外的，通过互联网开展的业务实现的收入。</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签约企业用户数：当申报维度选填为“企业”时，需填写本项。签约企业用户数指在20</w:t>
      </w:r>
      <w:r>
        <w:rPr>
          <w:rFonts w:hint="eastAsia" w:ascii="Times New Roman" w:hAnsi="Times New Roman" w:eastAsia="仿宋_GB2312"/>
          <w:color w:val="auto"/>
          <w:sz w:val="32"/>
          <w:lang w:val="en-US" w:eastAsia="zh-CN"/>
        </w:rPr>
        <w:t>21</w:t>
      </w:r>
      <w:r>
        <w:rPr>
          <w:rFonts w:ascii="Times New Roman" w:hAnsi="Times New Roman" w:eastAsia="仿宋_GB2312"/>
          <w:color w:val="auto"/>
          <w:sz w:val="32"/>
        </w:rPr>
        <w:t>年内，与申报企业签订合同（或处于合同存续期内），并与申报企业正常开展业务的企业客户数。单位为“个”。</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桌面端日均覆盖用户数（DUV，万）：当申报维度选填为“个人”时，需填写本项。20</w:t>
      </w:r>
      <w:r>
        <w:rPr>
          <w:rFonts w:hint="eastAsia" w:ascii="Times New Roman" w:hAnsi="Times New Roman" w:eastAsia="仿宋_GB2312"/>
          <w:color w:val="auto"/>
          <w:sz w:val="32"/>
          <w:lang w:val="en-US" w:eastAsia="zh-CN"/>
        </w:rPr>
        <w:t>21</w:t>
      </w:r>
      <w:r>
        <w:rPr>
          <w:rFonts w:ascii="Times New Roman" w:hAnsi="Times New Roman" w:eastAsia="仿宋_GB2312"/>
          <w:color w:val="auto"/>
          <w:sz w:val="32"/>
        </w:rPr>
        <w:t>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移动端日均活跃用户数（DAU，万）：当申报维度选填为“个人”时，需填写本项。20</w:t>
      </w:r>
      <w:r>
        <w:rPr>
          <w:rFonts w:hint="eastAsia" w:ascii="Times New Roman" w:hAnsi="Times New Roman" w:eastAsia="仿宋_GB2312"/>
          <w:color w:val="auto"/>
          <w:sz w:val="32"/>
          <w:lang w:val="en-US" w:eastAsia="zh-CN"/>
        </w:rPr>
        <w:t>21</w:t>
      </w:r>
      <w:r>
        <w:rPr>
          <w:rFonts w:ascii="Times New Roman" w:hAnsi="Times New Roman" w:eastAsia="仿宋_GB2312"/>
          <w:color w:val="auto"/>
          <w:sz w:val="32"/>
        </w:rPr>
        <w:t>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各项产品或服务的业务开展情况：企业认为所有可以展现本企业在20</w:t>
      </w:r>
      <w:r>
        <w:rPr>
          <w:rFonts w:hint="eastAsia" w:ascii="Times New Roman" w:hAnsi="Times New Roman" w:eastAsia="仿宋_GB2312"/>
          <w:color w:val="auto"/>
          <w:sz w:val="32"/>
          <w:lang w:val="en-US" w:eastAsia="zh-CN"/>
        </w:rPr>
        <w:t>21</w:t>
      </w:r>
      <w:r>
        <w:rPr>
          <w:rFonts w:ascii="Times New Roman" w:hAnsi="Times New Roman" w:eastAsia="仿宋_GB2312"/>
          <w:color w:val="auto"/>
          <w:sz w:val="32"/>
        </w:rPr>
        <w:t>年业务发展情况的信息均可在此填写，此处填写的内容在评价时会予以考虑。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拥有专利权（项）：截至20</w:t>
      </w:r>
      <w:r>
        <w:rPr>
          <w:rFonts w:hint="eastAsia" w:ascii="Times New Roman" w:hAnsi="Times New Roman" w:eastAsia="仿宋_GB2312"/>
          <w:color w:val="auto"/>
          <w:sz w:val="32"/>
          <w:lang w:val="en-US" w:eastAsia="zh-CN"/>
        </w:rPr>
        <w:t>21</w:t>
      </w:r>
      <w:r>
        <w:rPr>
          <w:rFonts w:ascii="Times New Roman" w:hAnsi="Times New Roman" w:eastAsia="仿宋_GB2312"/>
          <w:color w:val="auto"/>
          <w:sz w:val="32"/>
        </w:rPr>
        <w:t>年年底，企业持有的由我国或外国专利主管机关授予的，尚处于在法定保护期限内的专利权数量。</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发明专利权（项）：截至20</w:t>
      </w:r>
      <w:r>
        <w:rPr>
          <w:rFonts w:hint="eastAsia" w:ascii="Times New Roman" w:hAnsi="Times New Roman" w:eastAsia="仿宋_GB2312"/>
          <w:color w:val="auto"/>
          <w:sz w:val="32"/>
          <w:lang w:val="en-US" w:eastAsia="zh-CN"/>
        </w:rPr>
        <w:t>21</w:t>
      </w:r>
      <w:r>
        <w:rPr>
          <w:rFonts w:ascii="Times New Roman" w:hAnsi="Times New Roman" w:eastAsia="仿宋_GB2312"/>
          <w:color w:val="auto"/>
          <w:sz w:val="32"/>
        </w:rPr>
        <w:t>年年底，企业持有的由我国或外国专利主管机关授予的，尚处于在法定保护期限内的发明专利权数量。</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国家或行业标准（项）：截至20</w:t>
      </w:r>
      <w:r>
        <w:rPr>
          <w:rFonts w:hint="eastAsia" w:ascii="Times New Roman" w:hAnsi="Times New Roman" w:eastAsia="仿宋_GB2312"/>
          <w:color w:val="auto"/>
          <w:sz w:val="32"/>
          <w:lang w:val="en-US" w:eastAsia="zh-CN"/>
        </w:rPr>
        <w:t>21</w:t>
      </w:r>
      <w:r>
        <w:rPr>
          <w:rFonts w:ascii="Times New Roman" w:hAnsi="Times New Roman" w:eastAsia="仿宋_GB2312"/>
          <w:color w:val="auto"/>
          <w:sz w:val="32"/>
        </w:rPr>
        <w:t>年年底，本企业参与制定的，由国家标准化主管机构或各主管部、委（局）批准发布的标准。</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国际标准：截至20</w:t>
      </w:r>
      <w:r>
        <w:rPr>
          <w:rFonts w:hint="eastAsia" w:ascii="Times New Roman" w:hAnsi="Times New Roman" w:eastAsia="仿宋_GB2312"/>
          <w:color w:val="auto"/>
          <w:sz w:val="32"/>
          <w:lang w:val="en-US" w:eastAsia="zh-CN"/>
        </w:rPr>
        <w:t>21</w:t>
      </w:r>
      <w:r>
        <w:rPr>
          <w:rFonts w:ascii="Times New Roman" w:hAnsi="Times New Roman" w:eastAsia="仿宋_GB2312"/>
          <w:color w:val="auto"/>
          <w:sz w:val="32"/>
        </w:rPr>
        <w:t>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创新情况：企业认为所有可以体现本企业在20</w:t>
      </w:r>
      <w:r>
        <w:rPr>
          <w:rFonts w:hint="eastAsia" w:ascii="Times New Roman" w:hAnsi="Times New Roman" w:eastAsia="仿宋_GB2312"/>
          <w:color w:val="auto"/>
          <w:sz w:val="32"/>
          <w:lang w:val="en-US" w:eastAsia="zh-CN"/>
        </w:rPr>
        <w:t>21</w:t>
      </w:r>
      <w:r>
        <w:rPr>
          <w:rFonts w:ascii="Times New Roman" w:hAnsi="Times New Roman" w:eastAsia="仿宋_GB2312"/>
          <w:color w:val="auto"/>
          <w:sz w:val="32"/>
        </w:rPr>
        <w:t>年创新情况的信息均可在此填写，此处填写的内容在评价时会予以考虑。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企业简介：不超过400字的企业介绍，该内容主要用于互联网企业</w:t>
      </w:r>
      <w:r>
        <w:rPr>
          <w:rFonts w:hint="eastAsia" w:ascii="Times New Roman" w:hAnsi="Times New Roman" w:eastAsia="仿宋_GB2312"/>
          <w:color w:val="auto"/>
          <w:sz w:val="32"/>
        </w:rPr>
        <w:t>20</w:t>
      </w:r>
      <w:r>
        <w:rPr>
          <w:rFonts w:ascii="Times New Roman" w:hAnsi="Times New Roman" w:eastAsia="仿宋_GB2312"/>
          <w:color w:val="auto"/>
          <w:sz w:val="32"/>
        </w:rPr>
        <w:t>强结果向社会发布时，介绍入榜企业使用。</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实际控制人：指虽不一定是公司的股东，但通过投资关系、协议或者其他安排，能够实际支配公司行为的人。简而言之，实际控制人就是实际控制公司的自然人、法人或其他组织。</w:t>
      </w:r>
    </w:p>
    <w:p>
      <w:pPr>
        <w:rPr>
          <w:rFonts w:ascii="Times New Roman" w:hAnsi="Times New Roman"/>
          <w:color w:val="auto"/>
        </w:rPr>
      </w:pPr>
    </w:p>
    <w:p>
      <w:pPr>
        <w:rPr>
          <w:rFonts w:ascii="Times New Roman" w:hAnsi="Times New Roman" w:eastAsia="仿宋_GB2312"/>
          <w:color w:val="auto"/>
          <w:sz w:val="32"/>
        </w:rPr>
      </w:pPr>
    </w:p>
    <w:p>
      <w:pPr>
        <w:rPr>
          <w:rStyle w:val="4"/>
          <w:rFonts w:ascii="Times New Roman" w:hAnsi="Times New Roman" w:eastAsia="仿宋_GB2312"/>
          <w:color w:val="auto"/>
          <w:sz w:val="32"/>
          <w:szCs w:val="32"/>
        </w:rPr>
      </w:pPr>
      <w:bookmarkStart w:id="0" w:name="_GoBack"/>
      <w:bookmarkEnd w:id="0"/>
    </w:p>
    <w:p>
      <w:pPr>
        <w:rPr>
          <w:color w:val="auto"/>
        </w:rPr>
      </w:pPr>
    </w:p>
    <w:p>
      <w:pPr>
        <w:rPr>
          <w:color w:val="auto"/>
        </w:rPr>
      </w:pPr>
    </w:p>
    <w:p>
      <w:pPr>
        <w:rPr>
          <w:color w:val="auto"/>
        </w:rPr>
      </w:pPr>
    </w:p>
    <w:p>
      <w:pPr>
        <w:widowControl/>
        <w:spacing w:line="315" w:lineRule="atLeast"/>
        <w:rPr>
          <w:rFonts w:hint="eastAsia" w:ascii="仿宋" w:hAnsi="仿宋" w:eastAsia="仿宋"/>
          <w:color w:val="auto"/>
          <w:sz w:val="32"/>
          <w:szCs w:val="32"/>
        </w:rPr>
      </w:pPr>
    </w:p>
    <w:p/>
    <w:sectPr>
      <w:pgSz w:w="11906" w:h="16838"/>
      <w:pgMar w:top="1020" w:right="1286"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ZjgzYmExNjg5OGY1Njg0ZDhhOTJmOGI5YzMzZWEifQ=="/>
  </w:docVars>
  <w:rsids>
    <w:rsidRoot w:val="00000000"/>
    <w:rsid w:val="53B73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long_text1"/>
    <w:qFormat/>
    <w:uiPriority w:val="0"/>
    <w:rPr>
      <w:sz w:val="13"/>
      <w:szCs w:val="1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2022-05-27T03:02:45Z</dcterms:created>
  <dc:creator>Administrator</dc:creator>
  <cp:lastModifiedBy>Administrator</cp:lastModifiedBy>
  <dcterms:modified xsi:type="dcterms:W3CDTF">2022-05-27T03:02:54Z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5033B4E838034C2A907223B14948DCF9</vt:lpwstr>
  </property>
</Properties>
</file>